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526C21" w:rsidRDefault="00476CE6">
      <w:pPr>
        <w:jc w:val="right"/>
      </w:pPr>
      <w:bookmarkStart w:id="0" w:name="_heading=h.gjdgxs" w:colFirst="0" w:colLast="0"/>
      <w:bookmarkEnd w:id="0"/>
      <w:r>
        <w:t>Załącznik nr 6 do ZW 121/2020</w:t>
      </w:r>
    </w:p>
    <w:tbl>
      <w:tblPr>
        <w:tblStyle w:val="af3"/>
        <w:tblW w:w="9230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30"/>
      </w:tblGrid>
      <w:tr w:rsidR="00526C2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rPr>
                <w:b/>
              </w:rPr>
            </w:pPr>
            <w:r>
              <w:rPr>
                <w:b/>
              </w:rPr>
              <w:t>WYDZIAŁ ZARZĄDZANIA</w:t>
            </w:r>
          </w:p>
          <w:p w:rsidR="00526C21" w:rsidRDefault="00476CE6">
            <w:pPr>
              <w:keepNext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KARTA PRZEDMIOTU</w:t>
            </w:r>
          </w:p>
          <w:p w:rsidR="00526C21" w:rsidRDefault="00476CE6">
            <w:pPr>
              <w:keepNext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Nazwa przedmiotu w języku polskim: Ochrona własności intelektualnej </w:t>
            </w:r>
          </w:p>
          <w:p w:rsidR="00526C21" w:rsidRDefault="00476CE6">
            <w:pPr>
              <w:keepNext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Nazwa przedmiotu w języku angielskim: </w:t>
            </w:r>
            <w:proofErr w:type="spellStart"/>
            <w:r>
              <w:rPr>
                <w:b/>
                <w:color w:val="000000"/>
              </w:rPr>
              <w:t>Protection</w:t>
            </w:r>
            <w:proofErr w:type="spellEnd"/>
            <w:r>
              <w:rPr>
                <w:b/>
                <w:color w:val="000000"/>
              </w:rPr>
              <w:t xml:space="preserve"> of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</w:t>
            </w:r>
            <w:r>
              <w:rPr>
                <w:b/>
                <w:color w:val="000000"/>
              </w:rPr>
              <w:t>ntellectual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</w:rPr>
              <w:t>p</w:t>
            </w:r>
            <w:r>
              <w:rPr>
                <w:b/>
                <w:color w:val="000000"/>
              </w:rPr>
              <w:t>roperty</w:t>
            </w:r>
            <w:proofErr w:type="spellEnd"/>
          </w:p>
          <w:p w:rsidR="00526C21" w:rsidRDefault="00476CE6">
            <w:pPr>
              <w:keepNext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Kierunek studiów:</w:t>
            </w:r>
            <w:r>
              <w:rPr>
                <w:b/>
              </w:rPr>
              <w:t xml:space="preserve">  </w:t>
            </w:r>
            <w:r>
              <w:rPr>
                <w:b/>
                <w:color w:val="000000"/>
              </w:rPr>
              <w:t>Inżynieria zarządzania</w:t>
            </w:r>
          </w:p>
          <w:p w:rsidR="00526C21" w:rsidRDefault="00476CE6">
            <w:pPr>
              <w:keepNext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Specjalność: </w:t>
            </w:r>
          </w:p>
          <w:p w:rsidR="00526C21" w:rsidRDefault="00476CE6">
            <w:pPr>
              <w:keepNext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Poziom i forma studiów:</w:t>
            </w:r>
            <w:r>
              <w:rPr>
                <w:b/>
                <w:color w:val="000000"/>
              </w:rPr>
              <w:tab/>
              <w:t>I stopień, stacjonarna</w:t>
            </w:r>
          </w:p>
          <w:p w:rsidR="00526C21" w:rsidRDefault="00476CE6">
            <w:r>
              <w:rPr>
                <w:b/>
              </w:rPr>
              <w:t>Rodzaj przedmiotu:</w:t>
            </w:r>
            <w:r>
              <w:rPr>
                <w:b/>
              </w:rPr>
              <w:tab/>
            </w:r>
            <w:r>
              <w:rPr>
                <w:b/>
              </w:rPr>
              <w:tab/>
              <w:t xml:space="preserve">obowiązkowy </w:t>
            </w:r>
          </w:p>
          <w:p w:rsidR="00526C21" w:rsidRDefault="00476CE6">
            <w:bookmarkStart w:id="1" w:name="_heading=h.30j0zll" w:colFirst="0" w:colLast="0"/>
            <w:bookmarkEnd w:id="1"/>
            <w:r>
              <w:rPr>
                <w:b/>
              </w:rPr>
              <w:t>Kod przedmiotu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3F2744" w:rsidRPr="003F2744">
              <w:rPr>
                <w:b/>
                <w:color w:val="000000"/>
              </w:rPr>
              <w:t>W08IZZ-SI0009</w:t>
            </w:r>
          </w:p>
          <w:p w:rsidR="00526C21" w:rsidRDefault="00476CE6">
            <w:pPr>
              <w:rPr>
                <w:b/>
              </w:rPr>
            </w:pPr>
            <w:r>
              <w:rPr>
                <w:b/>
              </w:rPr>
              <w:t>Grupa kursów                       NIE</w:t>
            </w:r>
          </w:p>
        </w:tc>
      </w:tr>
    </w:tbl>
    <w:p w:rsidR="00526C21" w:rsidRDefault="00526C21">
      <w:pPr>
        <w:rPr>
          <w:sz w:val="12"/>
          <w:szCs w:val="12"/>
        </w:rPr>
      </w:pPr>
    </w:p>
    <w:p w:rsidR="00526C21" w:rsidRDefault="00526C21">
      <w:pPr>
        <w:rPr>
          <w:sz w:val="12"/>
          <w:szCs w:val="12"/>
        </w:rPr>
      </w:pPr>
    </w:p>
    <w:tbl>
      <w:tblPr>
        <w:tblStyle w:val="af4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01"/>
        <w:gridCol w:w="1126"/>
        <w:gridCol w:w="1253"/>
        <w:gridCol w:w="1426"/>
        <w:gridCol w:w="1253"/>
        <w:gridCol w:w="1450"/>
      </w:tblGrid>
      <w:tr w:rsidR="00526C21" w:rsidTr="00476CE6"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526C21">
            <w:pPr>
              <w:rPr>
                <w:sz w:val="22"/>
                <w:szCs w:val="22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</w:tr>
      <w:tr w:rsidR="00526C21" w:rsidTr="00476CE6"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526C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526C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526C21">
            <w:pPr>
              <w:rPr>
                <w:sz w:val="22"/>
                <w:szCs w:val="22"/>
              </w:rPr>
            </w:pPr>
          </w:p>
        </w:tc>
      </w:tr>
      <w:tr w:rsidR="00526C21" w:rsidTr="00476CE6"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507BB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507BB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526C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526C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526C21">
            <w:pPr>
              <w:rPr>
                <w:sz w:val="22"/>
                <w:szCs w:val="22"/>
              </w:rPr>
            </w:pPr>
          </w:p>
        </w:tc>
      </w:tr>
      <w:tr w:rsidR="00526C21" w:rsidTr="00476CE6"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zaliczenia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526C21">
            <w:pPr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526C21">
            <w:pPr>
              <w:rPr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526C21"/>
        </w:tc>
      </w:tr>
      <w:tr w:rsidR="00526C21" w:rsidTr="00476CE6"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526C2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526C2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526C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526C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526C21">
            <w:pPr>
              <w:jc w:val="center"/>
              <w:rPr>
                <w:sz w:val="22"/>
                <w:szCs w:val="22"/>
              </w:rPr>
            </w:pPr>
          </w:p>
        </w:tc>
      </w:tr>
      <w:tr w:rsidR="00526C21" w:rsidTr="00476CE6"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punktów ECTS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526C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526C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526C21">
            <w:pPr>
              <w:jc w:val="center"/>
              <w:rPr>
                <w:sz w:val="22"/>
                <w:szCs w:val="22"/>
              </w:rPr>
            </w:pPr>
          </w:p>
        </w:tc>
      </w:tr>
      <w:tr w:rsidR="00526C21" w:rsidTr="00476CE6"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:rsidR="00526C21" w:rsidRDefault="00476CE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526C2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526C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526C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526C21">
            <w:pPr>
              <w:jc w:val="center"/>
              <w:rPr>
                <w:sz w:val="22"/>
                <w:szCs w:val="22"/>
              </w:rPr>
            </w:pPr>
          </w:p>
        </w:tc>
      </w:tr>
      <w:tr w:rsidR="00526C21" w:rsidTr="00476CE6"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</w:t>
            </w:r>
            <w:r w:rsidR="00507BB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</w:t>
            </w:r>
            <w:r w:rsidR="00507BBB">
              <w:rPr>
                <w:b/>
                <w:sz w:val="22"/>
                <w:szCs w:val="22"/>
              </w:rPr>
              <w:t>6</w:t>
            </w:r>
            <w:bookmarkStart w:id="2" w:name="_GoBack"/>
            <w:bookmarkEnd w:id="2"/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526C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526C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526C21">
            <w:pPr>
              <w:jc w:val="center"/>
              <w:rPr>
                <w:sz w:val="22"/>
                <w:szCs w:val="22"/>
              </w:rPr>
            </w:pPr>
          </w:p>
        </w:tc>
      </w:tr>
    </w:tbl>
    <w:p w:rsidR="00526C21" w:rsidRDefault="00526C21">
      <w:pPr>
        <w:rPr>
          <w:sz w:val="12"/>
          <w:szCs w:val="12"/>
        </w:rPr>
      </w:pPr>
    </w:p>
    <w:p w:rsidR="00526C21" w:rsidRDefault="00526C21">
      <w:pPr>
        <w:rPr>
          <w:sz w:val="12"/>
          <w:szCs w:val="12"/>
        </w:rPr>
      </w:pPr>
    </w:p>
    <w:tbl>
      <w:tblPr>
        <w:tblStyle w:val="af5"/>
        <w:tblW w:w="9230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30"/>
      </w:tblGrid>
      <w:tr w:rsidR="00526C2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KOMPETENCJI SPOŁECZNYCH</w:t>
            </w:r>
          </w:p>
          <w:p w:rsidR="00526C21" w:rsidRDefault="00476CE6" w:rsidP="00476CE6">
            <w:pPr>
              <w:numPr>
                <w:ilvl w:val="0"/>
                <w:numId w:val="2"/>
              </w:numPr>
              <w:ind w:left="357" w:hanging="347"/>
              <w:rPr>
                <w:color w:val="1C1C1C"/>
              </w:rPr>
            </w:pPr>
            <w:r>
              <w:rPr>
                <w:color w:val="1C1C1C"/>
              </w:rPr>
              <w:t>Ogólna wiedza o wynalazczości  i innowacjach</w:t>
            </w:r>
          </w:p>
        </w:tc>
      </w:tr>
    </w:tbl>
    <w:p w:rsidR="00526C21" w:rsidRDefault="00526C21">
      <w:pPr>
        <w:rPr>
          <w:sz w:val="12"/>
          <w:szCs w:val="12"/>
        </w:rPr>
      </w:pPr>
    </w:p>
    <w:p w:rsidR="00526C21" w:rsidRDefault="00476CE6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Style w:val="af6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09"/>
      </w:tblGrid>
      <w:tr w:rsidR="00526C21" w:rsidTr="00476CE6"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jc w:val="center"/>
            </w:pPr>
            <w:r>
              <w:rPr>
                <w:b/>
                <w:sz w:val="22"/>
                <w:szCs w:val="22"/>
              </w:rPr>
              <w:t>CELE PRZEDMIOTU</w:t>
            </w:r>
          </w:p>
          <w:p w:rsidR="00526C21" w:rsidRDefault="00476CE6">
            <w:r>
              <w:rPr>
                <w:color w:val="000000"/>
                <w:sz w:val="22"/>
                <w:szCs w:val="22"/>
              </w:rPr>
              <w:t xml:space="preserve">C1 </w:t>
            </w:r>
            <w:r>
              <w:rPr>
                <w:sz w:val="22"/>
                <w:szCs w:val="22"/>
              </w:rPr>
              <w:t>Z</w:t>
            </w:r>
            <w:r>
              <w:rPr>
                <w:color w:val="000000"/>
                <w:sz w:val="22"/>
                <w:szCs w:val="22"/>
              </w:rPr>
              <w:t>apoznanie studentów z podstawową wiedzą w zakresie instytucjonalnej ochrony własności intelektualnej</w:t>
            </w:r>
          </w:p>
          <w:p w:rsidR="00526C21" w:rsidRDefault="00476CE6">
            <w:pPr>
              <w:ind w:left="311" w:hanging="311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C2 Omówienie podstawowych procedur krajowych, europejskich i międzynarodowych</w:t>
            </w:r>
          </w:p>
          <w:p w:rsidR="00526C21" w:rsidRDefault="00476CE6">
            <w:pPr>
              <w:ind w:left="311" w:hanging="311"/>
            </w:pPr>
            <w:r>
              <w:rPr>
                <w:color w:val="000000"/>
                <w:sz w:val="22"/>
                <w:szCs w:val="22"/>
              </w:rPr>
              <w:t>dotyczących ochrony zasobów wiedzy w organizacji</w:t>
            </w:r>
          </w:p>
          <w:p w:rsidR="00526C21" w:rsidRDefault="00526C21">
            <w:pPr>
              <w:jc w:val="center"/>
              <w:rPr>
                <w:sz w:val="12"/>
                <w:szCs w:val="12"/>
              </w:rPr>
            </w:pPr>
          </w:p>
        </w:tc>
      </w:tr>
    </w:tbl>
    <w:p w:rsidR="00526C21" w:rsidRDefault="00526C21">
      <w:pPr>
        <w:rPr>
          <w:sz w:val="12"/>
          <w:szCs w:val="12"/>
        </w:rPr>
      </w:pPr>
    </w:p>
    <w:p w:rsidR="00526C21" w:rsidRDefault="00526C21">
      <w:pPr>
        <w:rPr>
          <w:sz w:val="12"/>
          <w:szCs w:val="12"/>
        </w:rPr>
      </w:pPr>
    </w:p>
    <w:p w:rsidR="00526C21" w:rsidRDefault="00526C21">
      <w:pPr>
        <w:rPr>
          <w:sz w:val="12"/>
          <w:szCs w:val="12"/>
        </w:rPr>
      </w:pPr>
    </w:p>
    <w:p w:rsidR="00526C21" w:rsidRDefault="00526C21">
      <w:pPr>
        <w:rPr>
          <w:sz w:val="12"/>
          <w:szCs w:val="12"/>
        </w:rPr>
      </w:pPr>
    </w:p>
    <w:p w:rsidR="00526C21" w:rsidRDefault="00526C21">
      <w:pPr>
        <w:rPr>
          <w:sz w:val="12"/>
          <w:szCs w:val="12"/>
        </w:rPr>
      </w:pPr>
    </w:p>
    <w:p w:rsidR="00526C21" w:rsidRDefault="00526C21">
      <w:pPr>
        <w:rPr>
          <w:sz w:val="12"/>
          <w:szCs w:val="12"/>
        </w:rPr>
      </w:pPr>
    </w:p>
    <w:p w:rsidR="00526C21" w:rsidRDefault="00526C21">
      <w:pPr>
        <w:rPr>
          <w:sz w:val="12"/>
          <w:szCs w:val="12"/>
        </w:rPr>
      </w:pPr>
    </w:p>
    <w:p w:rsidR="00526C21" w:rsidRDefault="00526C21">
      <w:pPr>
        <w:rPr>
          <w:sz w:val="12"/>
          <w:szCs w:val="12"/>
        </w:rPr>
      </w:pPr>
    </w:p>
    <w:p w:rsidR="00526C21" w:rsidRDefault="00526C21">
      <w:pPr>
        <w:rPr>
          <w:sz w:val="12"/>
          <w:szCs w:val="12"/>
        </w:rPr>
      </w:pPr>
    </w:p>
    <w:tbl>
      <w:tblPr>
        <w:tblStyle w:val="af7"/>
        <w:tblW w:w="9230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30"/>
      </w:tblGrid>
      <w:tr w:rsidR="00526C21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numPr>
                <w:ilvl w:val="3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ind w:left="862" w:hanging="86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PRZEDMIOTOWE EFEKTY UCZENIA SIĘ</w:t>
            </w:r>
          </w:p>
          <w:p w:rsidR="00526C21" w:rsidRDefault="00476CE6">
            <w:pPr>
              <w:tabs>
                <w:tab w:val="left" w:pos="719"/>
              </w:tabs>
              <w:ind w:left="719" w:hanging="719"/>
              <w:jc w:val="both"/>
              <w:rPr>
                <w:b/>
              </w:rPr>
            </w:pPr>
            <w:r>
              <w:rPr>
                <w:b/>
              </w:rPr>
              <w:t>Z zakresu wiedzy:</w:t>
            </w:r>
          </w:p>
          <w:p w:rsidR="00526C21" w:rsidRDefault="00476CE6">
            <w:pPr>
              <w:jc w:val="both"/>
            </w:pPr>
            <w:bookmarkStart w:id="3" w:name="_heading=h.1fob9te" w:colFirst="0" w:colLast="0"/>
            <w:bookmarkEnd w:id="3"/>
            <w:r>
              <w:t>PEU_W01</w:t>
            </w:r>
          </w:p>
          <w:p w:rsidR="00526C21" w:rsidRDefault="00476CE6">
            <w:pPr>
              <w:jc w:val="both"/>
            </w:pPr>
            <w:r>
              <w:t>wyjaśnia podstawowe pojęcia i zasady z zakresu ochrony własności intelektualnej. Zna, rozumie i uzasadnia rolę ochrony własności intelektualnej w rozwoju nauki i gospodarki</w:t>
            </w:r>
          </w:p>
          <w:p w:rsidR="00526C21" w:rsidRDefault="00476CE6">
            <w:pPr>
              <w:jc w:val="both"/>
            </w:pPr>
            <w:r>
              <w:t xml:space="preserve">PEU_W02 </w:t>
            </w:r>
          </w:p>
          <w:p w:rsidR="00526C21" w:rsidRDefault="00476CE6">
            <w:pPr>
              <w:jc w:val="both"/>
            </w:pPr>
            <w:r>
              <w:t>charakteryzuje istotę i formy przedsiębiorczości oraz identyfikuje przesłanki jej powstawania i rozwoju. Objaśnia pojęcie innowacji i rozróżnia ich rodzaje. Rozpoznaje cechy i uwarunkowania innowacyjności organizacji. Opisuje proces innowacyjny zachodzący w organizacji</w:t>
            </w:r>
          </w:p>
          <w:p w:rsidR="00526C21" w:rsidRDefault="00476CE6">
            <w:pPr>
              <w:tabs>
                <w:tab w:val="left" w:pos="719"/>
              </w:tabs>
              <w:jc w:val="both"/>
              <w:rPr>
                <w:b/>
              </w:rPr>
            </w:pPr>
            <w:r>
              <w:rPr>
                <w:b/>
              </w:rPr>
              <w:t>Z zakresu umiejętności:</w:t>
            </w:r>
          </w:p>
          <w:p w:rsidR="00526C21" w:rsidRDefault="00476CE6">
            <w:pPr>
              <w:tabs>
                <w:tab w:val="left" w:pos="719"/>
              </w:tabs>
              <w:jc w:val="both"/>
            </w:pPr>
            <w:r>
              <w:t>PEU_U01</w:t>
            </w:r>
          </w:p>
          <w:p w:rsidR="00526C21" w:rsidRDefault="00476CE6">
            <w:pPr>
              <w:jc w:val="both"/>
            </w:pPr>
            <w:r>
              <w:t>potrafi identyfikować i interpretować prawne aspekty działalności inżynierskiej, a także menedżerskiej</w:t>
            </w:r>
          </w:p>
          <w:p w:rsidR="00526C21" w:rsidRDefault="00476CE6">
            <w:pPr>
              <w:jc w:val="both"/>
            </w:pPr>
            <w:r>
              <w:t>PEU_U02</w:t>
            </w:r>
          </w:p>
          <w:p w:rsidR="00526C21" w:rsidRDefault="00476CE6">
            <w:pPr>
              <w:jc w:val="both"/>
            </w:pPr>
            <w:r>
              <w:t>potrafi, przy formułowaniu i rozwiązywaniu zadań o charakterze inżynierskim dotyczących procesów innowacyjnych, dostrzegać ich aspekty systemowe oraz posługiwać się właściwymi normami i standardami prawnymi, zawodowymi i moralnymi</w:t>
            </w:r>
          </w:p>
          <w:p w:rsidR="00526C21" w:rsidRDefault="00476CE6">
            <w:pPr>
              <w:tabs>
                <w:tab w:val="left" w:pos="719"/>
              </w:tabs>
              <w:jc w:val="both"/>
              <w:rPr>
                <w:b/>
              </w:rPr>
            </w:pPr>
            <w:r>
              <w:rPr>
                <w:b/>
              </w:rPr>
              <w:t>Z zakresu kompetencji społecznych:</w:t>
            </w:r>
          </w:p>
          <w:p w:rsidR="00526C21" w:rsidRDefault="00476CE6">
            <w:pPr>
              <w:tabs>
                <w:tab w:val="left" w:pos="10"/>
              </w:tabs>
              <w:ind w:left="10"/>
              <w:jc w:val="both"/>
            </w:pPr>
            <w:r>
              <w:t>PEU_K01</w:t>
            </w:r>
          </w:p>
          <w:p w:rsidR="00526C21" w:rsidRDefault="00476CE6">
            <w:pPr>
              <w:tabs>
                <w:tab w:val="left" w:pos="719"/>
              </w:tabs>
              <w:jc w:val="both"/>
            </w:pPr>
            <w:r>
              <w:t>potrafi identyfikować i interpretować prawne aspekty działalności inżynierskiej, aspekty systemowe oraz stosować odpowiednie normy i standardy prawne, zawodowe i moralne</w:t>
            </w:r>
          </w:p>
        </w:tc>
      </w:tr>
    </w:tbl>
    <w:p w:rsidR="00526C21" w:rsidRDefault="00526C21">
      <w:pPr>
        <w:rPr>
          <w:vertAlign w:val="superscript"/>
        </w:rPr>
      </w:pPr>
    </w:p>
    <w:p w:rsidR="00526C21" w:rsidRDefault="00526C21">
      <w:pPr>
        <w:rPr>
          <w:color w:val="FF0000"/>
        </w:rPr>
      </w:pPr>
    </w:p>
    <w:tbl>
      <w:tblPr>
        <w:tblStyle w:val="af8"/>
        <w:tblW w:w="9230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60"/>
        <w:gridCol w:w="6811"/>
        <w:gridCol w:w="1659"/>
      </w:tblGrid>
      <w:tr w:rsidR="00526C21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6C21" w:rsidRDefault="00476CE6">
            <w:pPr>
              <w:spacing w:before="60" w:after="20"/>
              <w:jc w:val="center"/>
              <w:rPr>
                <w:b/>
              </w:rPr>
            </w:pPr>
            <w:r>
              <w:rPr>
                <w:b/>
              </w:rPr>
              <w:t>TREŚCI PROGRAMOWE</w:t>
            </w:r>
          </w:p>
        </w:tc>
      </w:tr>
      <w:tr w:rsidR="00526C21">
        <w:trPr>
          <w:trHeight w:val="20"/>
        </w:trPr>
        <w:tc>
          <w:tcPr>
            <w:tcW w:w="7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6C21" w:rsidRDefault="00476CE6">
            <w:pPr>
              <w:keepNext/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Forma zajęć - wykład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6C21" w:rsidRDefault="00476CE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Liczba godzin </w:t>
            </w:r>
          </w:p>
        </w:tc>
      </w:tr>
      <w:tr w:rsidR="00526C21">
        <w:trPr>
          <w:trHeight w:val="20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6C21" w:rsidRDefault="00476CE6">
            <w:pPr>
              <w:spacing w:before="20" w:after="20"/>
              <w:jc w:val="center"/>
            </w:pPr>
            <w:r>
              <w:t>Wy1</w:t>
            </w: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spacing w:before="20" w:after="20"/>
            </w:pPr>
            <w:r>
              <w:t>Omówienie i tematyka kursu i zasady zaliczania.</w:t>
            </w:r>
          </w:p>
          <w:p w:rsidR="00526C21" w:rsidRDefault="00476CE6">
            <w:pPr>
              <w:spacing w:before="20" w:after="20"/>
            </w:pPr>
            <w:r>
              <w:t xml:space="preserve">Przedmioty ochrony własności intelektualnej - przegląd podstawowych kategorii własności intelektualnej. Cel i zakres ochrony. 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6C21" w:rsidRDefault="00476CE6">
            <w:pPr>
              <w:spacing w:before="20" w:after="20"/>
              <w:jc w:val="center"/>
            </w:pPr>
            <w:r>
              <w:t>2</w:t>
            </w:r>
          </w:p>
        </w:tc>
      </w:tr>
      <w:tr w:rsidR="00526C21">
        <w:trPr>
          <w:trHeight w:val="20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6C21" w:rsidRDefault="00476CE6">
            <w:pPr>
              <w:spacing w:before="20" w:after="20"/>
              <w:jc w:val="center"/>
            </w:pPr>
            <w:r>
              <w:t>Wy2</w:t>
            </w: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spacing w:before="20" w:after="20"/>
            </w:pPr>
            <w:r>
              <w:rPr>
                <w:color w:val="000000"/>
                <w:sz w:val="22"/>
                <w:szCs w:val="22"/>
              </w:rPr>
              <w:t>Instytucjonalizacja ochrony własności intelektualnej – przegląd podstawowych regulacji prawnych krajowych, europejskich i międzynarodowych w zakresie ochrony własności intelektualnej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6C21" w:rsidRDefault="00476CE6">
            <w:pPr>
              <w:spacing w:before="20" w:after="20"/>
              <w:jc w:val="center"/>
            </w:pPr>
            <w:r>
              <w:t>2</w:t>
            </w:r>
          </w:p>
        </w:tc>
      </w:tr>
      <w:tr w:rsidR="00526C21">
        <w:trPr>
          <w:trHeight w:val="20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6C21" w:rsidRDefault="00476CE6">
            <w:pPr>
              <w:spacing w:before="20" w:after="20"/>
              <w:jc w:val="center"/>
            </w:pPr>
            <w:r>
              <w:t>Wy3</w:t>
            </w: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spacing w:before="20" w:after="20"/>
            </w:pPr>
            <w:r>
              <w:rPr>
                <w:color w:val="000000"/>
                <w:sz w:val="22"/>
                <w:szCs w:val="22"/>
              </w:rPr>
              <w:t>Charakterystyka kategorii własności intelektualnej – utwory, wynalazki, wzory użytkowe, wzory przemysłowe, znaki towarowe, oznaczenia geograficzne, topografia układów scalonych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6C21" w:rsidRDefault="00476CE6">
            <w:pPr>
              <w:spacing w:before="20" w:after="20"/>
              <w:jc w:val="center"/>
            </w:pPr>
            <w:r>
              <w:t>2</w:t>
            </w:r>
          </w:p>
        </w:tc>
      </w:tr>
      <w:tr w:rsidR="00526C21">
        <w:trPr>
          <w:trHeight w:val="20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6C21" w:rsidRDefault="00476CE6">
            <w:pPr>
              <w:spacing w:before="20" w:after="20"/>
              <w:jc w:val="center"/>
            </w:pPr>
            <w:r>
              <w:t>Wy4</w:t>
            </w: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Zarządzanie własnością intelektualną w przedsiębiorstwie – istota  zarządzania własnością intelektualną (w powiązaniu z zarządzaniem wiedzą) 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6C21" w:rsidRDefault="00476CE6">
            <w:pPr>
              <w:spacing w:before="20" w:after="20"/>
              <w:jc w:val="center"/>
            </w:pPr>
            <w:r>
              <w:t>2</w:t>
            </w:r>
          </w:p>
        </w:tc>
      </w:tr>
      <w:tr w:rsidR="00526C21">
        <w:trPr>
          <w:trHeight w:val="20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6C21" w:rsidRDefault="00476CE6">
            <w:pPr>
              <w:spacing w:before="20" w:after="20"/>
              <w:jc w:val="center"/>
            </w:pPr>
            <w:r>
              <w:t>W 5</w:t>
            </w: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Miejsce własności intelektualnej w strategii zarządzania przedsiębiorstwem. Wartość firmy a własność intelektualna 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6C21" w:rsidRDefault="00476CE6">
            <w:pPr>
              <w:spacing w:before="20" w:after="20"/>
              <w:jc w:val="center"/>
            </w:pPr>
            <w:r>
              <w:t>2</w:t>
            </w:r>
          </w:p>
        </w:tc>
      </w:tr>
      <w:tr w:rsidR="00526C21">
        <w:trPr>
          <w:trHeight w:val="20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6C21" w:rsidRDefault="00476CE6">
            <w:pPr>
              <w:spacing w:before="20" w:after="20"/>
              <w:jc w:val="center"/>
            </w:pPr>
            <w:r>
              <w:t>W 6</w:t>
            </w: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Krajowe i międzynarodowe doświadczenia w zarządzaniu własnością intelektualną - analiza przypadków (aspekty ekonomiczne i prawne). Przykłady działania przedsiębiorstw w zakresie własności intelektualnej. Wybrane międzynarodowe przykłady narzędzi wspomagających zarządzanie własnością intelektualną.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6C21" w:rsidRDefault="00476CE6">
            <w:pPr>
              <w:spacing w:before="20" w:after="20"/>
              <w:jc w:val="center"/>
            </w:pPr>
            <w:r>
              <w:t>2</w:t>
            </w:r>
          </w:p>
        </w:tc>
      </w:tr>
      <w:tr w:rsidR="00526C21">
        <w:trPr>
          <w:trHeight w:val="20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6C21" w:rsidRDefault="00476CE6">
            <w:pPr>
              <w:spacing w:before="20" w:after="20"/>
              <w:jc w:val="center"/>
            </w:pPr>
            <w:r>
              <w:t>W 7</w:t>
            </w: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Finansowanie ochrony własności intelektualnej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6C21" w:rsidRDefault="00476CE6">
            <w:pPr>
              <w:spacing w:before="20" w:after="20"/>
              <w:jc w:val="center"/>
            </w:pPr>
            <w:r>
              <w:t>2</w:t>
            </w:r>
          </w:p>
        </w:tc>
      </w:tr>
      <w:tr w:rsidR="00526C21">
        <w:trPr>
          <w:trHeight w:val="20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6C21" w:rsidRDefault="00476CE6">
            <w:pPr>
              <w:spacing w:before="20" w:after="20"/>
              <w:jc w:val="center"/>
            </w:pPr>
            <w:r>
              <w:t>W 8</w:t>
            </w: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Ochrona know-how i informacji handlowych w przedsiębiorstwie.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6C21" w:rsidRDefault="00476CE6">
            <w:pPr>
              <w:spacing w:before="20" w:after="20"/>
              <w:jc w:val="center"/>
            </w:pPr>
            <w:r>
              <w:t>2</w:t>
            </w:r>
          </w:p>
        </w:tc>
      </w:tr>
      <w:tr w:rsidR="00526C21">
        <w:trPr>
          <w:trHeight w:val="20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6C21" w:rsidRDefault="00476CE6">
            <w:pPr>
              <w:spacing w:before="20" w:after="20"/>
              <w:jc w:val="center"/>
            </w:pPr>
            <w:r>
              <w:t>W 9</w:t>
            </w: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Umowy o zachowaniu poufności - NDA i ich znaczenie w działalności rynkowej przedsiębiorstwa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6C21" w:rsidRDefault="00476CE6">
            <w:pPr>
              <w:spacing w:before="20" w:after="20"/>
              <w:jc w:val="center"/>
            </w:pPr>
            <w:r>
              <w:t>2</w:t>
            </w:r>
          </w:p>
        </w:tc>
      </w:tr>
      <w:tr w:rsidR="00526C21">
        <w:trPr>
          <w:trHeight w:val="20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6C21" w:rsidRDefault="00476CE6">
            <w:pPr>
              <w:spacing w:before="20" w:after="20"/>
              <w:jc w:val="center"/>
            </w:pPr>
            <w:r>
              <w:lastRenderedPageBreak/>
              <w:t>W 10</w:t>
            </w: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Transfer technologii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6C21" w:rsidRDefault="00476CE6">
            <w:pPr>
              <w:spacing w:before="20" w:after="20"/>
              <w:jc w:val="center"/>
            </w:pPr>
            <w:r>
              <w:t>2</w:t>
            </w:r>
          </w:p>
        </w:tc>
      </w:tr>
      <w:tr w:rsidR="00526C21">
        <w:trPr>
          <w:trHeight w:val="20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6C21" w:rsidRDefault="00476CE6">
            <w:pPr>
              <w:spacing w:before="20" w:after="20"/>
              <w:jc w:val="center"/>
            </w:pPr>
            <w:r>
              <w:t>W 11</w:t>
            </w: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Umowy z zakresu własności intelektualnej – przegląd i charakterystyka podstawowych umów 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6C21" w:rsidRDefault="00476CE6">
            <w:pPr>
              <w:spacing w:before="20" w:after="20"/>
              <w:jc w:val="center"/>
            </w:pPr>
            <w:r>
              <w:t>2</w:t>
            </w:r>
          </w:p>
        </w:tc>
      </w:tr>
      <w:tr w:rsidR="00526C21">
        <w:trPr>
          <w:trHeight w:val="20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6C21" w:rsidRDefault="00476CE6">
            <w:pPr>
              <w:spacing w:before="20" w:after="20"/>
              <w:jc w:val="center"/>
            </w:pPr>
            <w:r>
              <w:t>W 12</w:t>
            </w: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spacing w:before="20" w:after="20"/>
            </w:pPr>
            <w:r>
              <w:rPr>
                <w:color w:val="000000"/>
                <w:sz w:val="22"/>
                <w:szCs w:val="22"/>
              </w:rPr>
              <w:t xml:space="preserve">Analiza wybranych klauzul kontraktowych w umowach z dziedziny własności intelektualnej na tle zasady swobody umów 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6C21" w:rsidRDefault="00476CE6">
            <w:pPr>
              <w:spacing w:before="20" w:after="20"/>
              <w:jc w:val="center"/>
            </w:pPr>
            <w:r>
              <w:t>2</w:t>
            </w:r>
          </w:p>
        </w:tc>
      </w:tr>
      <w:tr w:rsidR="00526C21">
        <w:trPr>
          <w:trHeight w:val="20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6C21" w:rsidRDefault="00476CE6">
            <w:pPr>
              <w:spacing w:before="20" w:after="20"/>
              <w:jc w:val="center"/>
            </w:pPr>
            <w:r>
              <w:t>W 13</w:t>
            </w: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Specjalistyczne sądownictwo w zakresie własności intelektualnej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6C21" w:rsidRDefault="00476CE6">
            <w:pPr>
              <w:spacing w:before="20" w:after="20"/>
              <w:jc w:val="center"/>
            </w:pPr>
            <w:r>
              <w:t>2</w:t>
            </w:r>
          </w:p>
        </w:tc>
      </w:tr>
      <w:tr w:rsidR="00526C21">
        <w:trPr>
          <w:trHeight w:val="20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6C21" w:rsidRDefault="00476CE6">
            <w:pPr>
              <w:spacing w:before="20" w:after="20"/>
              <w:jc w:val="center"/>
            </w:pPr>
            <w:r>
              <w:t>W 14</w:t>
            </w: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Rozstrzyganie sporów dotyczących własności </w:t>
            </w:r>
            <w:proofErr w:type="spellStart"/>
            <w:r>
              <w:rPr>
                <w:sz w:val="22"/>
                <w:szCs w:val="22"/>
              </w:rPr>
              <w:t>interlektualnej</w:t>
            </w:r>
            <w:proofErr w:type="spellEnd"/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6C21" w:rsidRDefault="00476CE6">
            <w:pPr>
              <w:spacing w:before="20" w:after="20"/>
              <w:jc w:val="center"/>
            </w:pPr>
            <w:r>
              <w:t>2</w:t>
            </w:r>
          </w:p>
        </w:tc>
      </w:tr>
      <w:tr w:rsidR="00526C21">
        <w:trPr>
          <w:trHeight w:val="20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6C21" w:rsidRDefault="00476CE6">
            <w:pPr>
              <w:spacing w:before="20" w:after="20"/>
              <w:jc w:val="center"/>
            </w:pPr>
            <w:r>
              <w:t>W 15</w:t>
            </w: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spacing w:before="20" w:after="20"/>
            </w:pPr>
            <w:r>
              <w:t>Zaliczenie pisemne w formie testu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6C21" w:rsidRDefault="00476CE6">
            <w:pPr>
              <w:spacing w:before="20" w:after="20"/>
              <w:jc w:val="center"/>
            </w:pPr>
            <w:r>
              <w:t>2</w:t>
            </w:r>
          </w:p>
        </w:tc>
      </w:tr>
      <w:tr w:rsidR="00526C21">
        <w:trPr>
          <w:trHeight w:val="20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6C21" w:rsidRDefault="00526C21">
            <w:pPr>
              <w:spacing w:before="20" w:after="20"/>
              <w:jc w:val="center"/>
            </w:pP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spacing w:before="20" w:after="20"/>
            </w:pPr>
            <w:r>
              <w:t>Suma godzin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6C21" w:rsidRDefault="00476CE6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:rsidR="00526C21" w:rsidRDefault="00526C21">
      <w:pPr>
        <w:rPr>
          <w:color w:val="FF0000"/>
        </w:rPr>
      </w:pPr>
    </w:p>
    <w:tbl>
      <w:tblPr>
        <w:tblStyle w:val="af9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0"/>
        <w:gridCol w:w="6815"/>
        <w:gridCol w:w="1584"/>
      </w:tblGrid>
      <w:tr w:rsidR="00526C21" w:rsidTr="00476CE6">
        <w:tc>
          <w:tcPr>
            <w:tcW w:w="7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Forma zajęć - ćwiczenia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Liczba godzin</w:t>
            </w:r>
          </w:p>
        </w:tc>
      </w:tr>
      <w:tr w:rsidR="00526C21" w:rsidTr="00476CE6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Ćw1</w:t>
            </w: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Organizacja i zasady realizacji oraz zaliczenia kursu</w:t>
            </w:r>
          </w:p>
          <w:p w:rsidR="00526C21" w:rsidRDefault="00476CE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Wprowadzenie do tematyki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526C21" w:rsidTr="00476CE6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Ćw2</w:t>
            </w: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System własności intelektualnej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526C21" w:rsidTr="00476CE6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r>
              <w:rPr>
                <w:sz w:val="22"/>
                <w:szCs w:val="22"/>
              </w:rPr>
              <w:t>Ćw3</w:t>
            </w: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Jak można wykorzystać własność intelektualną – franczyza, outsourcing, licencjonowanie. Korzyści finansowe i podatkowe – IP Box. Konkurencyjność poprzez system IP i wartość rynkowa firmy. Zarządzanie IP w oparciu o cele korporacyjne. Budowanie przewag konkurencyjnych. Zasady dbania o własne i cudze IP – badanie stanu techniki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526C21" w:rsidTr="00476CE6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r>
              <w:rPr>
                <w:sz w:val="22"/>
                <w:szCs w:val="22"/>
              </w:rPr>
              <w:t>Ćw4</w:t>
            </w: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Pracownicza własność intelektualna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526C21" w:rsidTr="00476CE6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r>
              <w:rPr>
                <w:sz w:val="22"/>
                <w:szCs w:val="22"/>
              </w:rPr>
              <w:t>Ćw5</w:t>
            </w: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Projektowanie procesów zarządczych i dokumentacji wzorcowej dla ochrony własności intelektualnej w przedsiębiorstwie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526C21" w:rsidTr="00476CE6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r>
              <w:t>Ćw6</w:t>
            </w: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Analiza kosztów i korzyści ochrony własności 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526C21" w:rsidTr="00476CE6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r>
              <w:t>Ćw7</w:t>
            </w: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opracowanie schematu postępowania w zakresie ochrony własności intelektualnej na podstawie przykładu wybranego przedsiębiorstwa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526C21" w:rsidTr="00476CE6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r>
              <w:t>Ćw8</w:t>
            </w: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na podstawie przygotowanego  projektu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526C21" w:rsidTr="00476CE6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526C21"/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Suma godzin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</w:tr>
    </w:tbl>
    <w:p w:rsidR="00526C21" w:rsidRDefault="00526C21">
      <w:pPr>
        <w:rPr>
          <w:sz w:val="12"/>
          <w:szCs w:val="12"/>
        </w:rPr>
      </w:pPr>
    </w:p>
    <w:tbl>
      <w:tblPr>
        <w:tblStyle w:val="afa"/>
        <w:tblW w:w="9230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30"/>
      </w:tblGrid>
      <w:tr w:rsidR="00526C21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keepNext/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STOSOWANE NARZĘDZIA DYDAKTYCZNE</w:t>
            </w:r>
          </w:p>
        </w:tc>
      </w:tr>
      <w:tr w:rsidR="00526C21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ind w:left="498" w:hanging="498"/>
            </w:pPr>
            <w:r>
              <w:t>N1.</w:t>
            </w:r>
            <w:r>
              <w:tab/>
              <w:t>prezentacje multimedialne</w:t>
            </w:r>
          </w:p>
          <w:p w:rsidR="00526C21" w:rsidRDefault="00476CE6">
            <w:pPr>
              <w:ind w:left="498" w:hanging="498"/>
            </w:pPr>
            <w:r>
              <w:t>N2.</w:t>
            </w:r>
            <w:r>
              <w:tab/>
              <w:t>analiza przypadku</w:t>
            </w:r>
          </w:p>
          <w:p w:rsidR="00526C21" w:rsidRDefault="00476CE6">
            <w:pPr>
              <w:ind w:left="498" w:hanging="498"/>
            </w:pPr>
            <w:r>
              <w:t>N3.</w:t>
            </w:r>
            <w:r>
              <w:tab/>
              <w:t>praca w grupach zakończona prezentacją wyników</w:t>
            </w:r>
          </w:p>
        </w:tc>
      </w:tr>
    </w:tbl>
    <w:p w:rsidR="00526C21" w:rsidRDefault="00526C21">
      <w:pPr>
        <w:rPr>
          <w:sz w:val="12"/>
          <w:szCs w:val="12"/>
        </w:rPr>
      </w:pPr>
    </w:p>
    <w:p w:rsidR="00526C21" w:rsidRDefault="00476CE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OCENA OSIĄGNIĘCIA PRZEDMIOTOWYCH EFEKTÓW UCZENIA SIĘ</w:t>
      </w:r>
    </w:p>
    <w:p w:rsidR="00526C21" w:rsidRDefault="00526C21">
      <w:pPr>
        <w:jc w:val="center"/>
        <w:rPr>
          <w:b/>
          <w:sz w:val="22"/>
          <w:szCs w:val="22"/>
        </w:rPr>
      </w:pPr>
    </w:p>
    <w:tbl>
      <w:tblPr>
        <w:tblStyle w:val="afb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86"/>
        <w:gridCol w:w="2612"/>
        <w:gridCol w:w="3962"/>
      </w:tblGrid>
      <w:tr w:rsidR="00526C21" w:rsidTr="00476CE6"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Oceny</w:t>
            </w:r>
            <w:r>
              <w:rPr>
                <w:b/>
              </w:rPr>
              <w:t xml:space="preserve"> </w:t>
            </w:r>
            <w:r>
              <w:t>(F – formująca (w trakcie semestru), P – podsumowująca (na koniec semestru)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526C21" w:rsidTr="00476CE6"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r>
              <w:t>F1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jc w:val="both"/>
            </w:pPr>
            <w:r>
              <w:t>PEU_W01, PEU_W02</w:t>
            </w:r>
          </w:p>
          <w:p w:rsidR="00526C21" w:rsidRDefault="00526C21">
            <w:pPr>
              <w:tabs>
                <w:tab w:val="left" w:pos="719"/>
              </w:tabs>
              <w:ind w:left="719" w:hanging="719"/>
              <w:rPr>
                <w:color w:val="000000"/>
              </w:rPr>
            </w:pP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Pisemne zaliczenie w formie testu</w:t>
            </w:r>
          </w:p>
        </w:tc>
      </w:tr>
      <w:tr w:rsidR="00526C21" w:rsidTr="00476CE6"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r>
              <w:t>F2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jc w:val="both"/>
            </w:pPr>
            <w:r>
              <w:t>PEU_W01,PEU_W02, PEU_U01, PEU_U02,</w:t>
            </w:r>
          </w:p>
          <w:p w:rsidR="00526C21" w:rsidRDefault="00476CE6">
            <w:pPr>
              <w:jc w:val="both"/>
            </w:pPr>
            <w:r>
              <w:t>PEU_K01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i prezentacja wyników projektu</w:t>
            </w:r>
          </w:p>
        </w:tc>
      </w:tr>
      <w:tr w:rsidR="00526C21">
        <w:trPr>
          <w:trHeight w:val="240"/>
        </w:trPr>
        <w:tc>
          <w:tcPr>
            <w:tcW w:w="9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r>
              <w:t>P wykład = F1</w:t>
            </w:r>
          </w:p>
          <w:p w:rsidR="00526C21" w:rsidRDefault="00476CE6">
            <w:r>
              <w:t>P ćwiczenia = F2</w:t>
            </w:r>
          </w:p>
        </w:tc>
      </w:tr>
    </w:tbl>
    <w:p w:rsidR="00526C21" w:rsidRDefault="00526C21">
      <w:pPr>
        <w:rPr>
          <w:sz w:val="12"/>
          <w:szCs w:val="12"/>
        </w:rPr>
      </w:pPr>
    </w:p>
    <w:p w:rsidR="00476CE6" w:rsidRDefault="00476CE6">
      <w:pPr>
        <w:rPr>
          <w:sz w:val="12"/>
          <w:szCs w:val="12"/>
        </w:rPr>
      </w:pPr>
    </w:p>
    <w:p w:rsidR="00476CE6" w:rsidRDefault="00476CE6">
      <w:pPr>
        <w:rPr>
          <w:sz w:val="12"/>
          <w:szCs w:val="12"/>
        </w:rPr>
      </w:pPr>
    </w:p>
    <w:p w:rsidR="00476CE6" w:rsidRDefault="00476CE6">
      <w:pPr>
        <w:rPr>
          <w:sz w:val="12"/>
          <w:szCs w:val="12"/>
        </w:rPr>
      </w:pPr>
    </w:p>
    <w:p w:rsidR="00476CE6" w:rsidRDefault="00476CE6">
      <w:pPr>
        <w:rPr>
          <w:sz w:val="12"/>
          <w:szCs w:val="12"/>
        </w:rPr>
      </w:pPr>
    </w:p>
    <w:p w:rsidR="00476CE6" w:rsidRDefault="00476CE6">
      <w:pPr>
        <w:rPr>
          <w:sz w:val="12"/>
          <w:szCs w:val="12"/>
        </w:rPr>
      </w:pPr>
    </w:p>
    <w:p w:rsidR="00526C21" w:rsidRDefault="00526C21">
      <w:pPr>
        <w:rPr>
          <w:sz w:val="12"/>
          <w:szCs w:val="12"/>
        </w:rPr>
      </w:pPr>
    </w:p>
    <w:tbl>
      <w:tblPr>
        <w:tblStyle w:val="afc"/>
        <w:tblW w:w="9230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30"/>
      </w:tblGrid>
      <w:tr w:rsidR="00526C2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keepNext/>
              <w:spacing w:before="60" w:after="40"/>
              <w:jc w:val="center"/>
              <w:rPr>
                <w:b/>
              </w:rPr>
            </w:pPr>
            <w:r>
              <w:rPr>
                <w:b/>
              </w:rPr>
              <w:lastRenderedPageBreak/>
              <w:t>LITERATURA PODSTAWOWA I UZUPEŁNIAJĄCA</w:t>
            </w:r>
          </w:p>
        </w:tc>
      </w:tr>
      <w:tr w:rsidR="00526C2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spacing w:after="60"/>
              <w:rPr>
                <w:b/>
                <w:smallCaps/>
                <w:u w:val="single"/>
              </w:rPr>
            </w:pPr>
            <w:r>
              <w:rPr>
                <w:b/>
                <w:smallCaps/>
                <w:u w:val="single"/>
              </w:rPr>
              <w:t>LITERATURA PODSTAWOWA:</w:t>
            </w:r>
          </w:p>
          <w:p w:rsidR="00526C21" w:rsidRDefault="00476C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[1] Dereń A.M., </w:t>
            </w:r>
            <w:r>
              <w:rPr>
                <w:i/>
                <w:sz w:val="22"/>
                <w:szCs w:val="22"/>
              </w:rPr>
              <w:t xml:space="preserve"> Zarządzanie własnością intelektualną w transferze technologii</w:t>
            </w:r>
            <w:r>
              <w:rPr>
                <w:sz w:val="22"/>
                <w:szCs w:val="22"/>
              </w:rPr>
              <w:t xml:space="preserve">, Wyd. </w:t>
            </w:r>
            <w:proofErr w:type="spellStart"/>
            <w:r>
              <w:rPr>
                <w:sz w:val="22"/>
                <w:szCs w:val="22"/>
              </w:rPr>
              <w:t>Difin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526C21" w:rsidRDefault="00476C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Warszawa 2014 </w:t>
            </w:r>
          </w:p>
          <w:p w:rsidR="00526C21" w:rsidRDefault="00476C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[2]</w:t>
            </w:r>
            <w:r>
              <w:rPr>
                <w:color w:val="111111"/>
                <w:sz w:val="22"/>
                <w:szCs w:val="22"/>
              </w:rPr>
              <w:t xml:space="preserve"> Niewęgłowski A., Nowak I., </w:t>
            </w:r>
            <w:r>
              <w:rPr>
                <w:i/>
                <w:color w:val="111111"/>
                <w:sz w:val="22"/>
                <w:szCs w:val="22"/>
              </w:rPr>
              <w:t xml:space="preserve">Własność intelektualna w działalności gospodarczej, </w:t>
            </w:r>
            <w:r>
              <w:rPr>
                <w:color w:val="111111"/>
                <w:sz w:val="22"/>
                <w:szCs w:val="22"/>
              </w:rPr>
              <w:t>Wyd. C.H. Beck, Warszawa 2017.</w:t>
            </w:r>
          </w:p>
          <w:p w:rsidR="00526C21" w:rsidRDefault="00476C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[3] </w:t>
            </w:r>
            <w:proofErr w:type="spellStart"/>
            <w:r>
              <w:rPr>
                <w:sz w:val="22"/>
                <w:szCs w:val="22"/>
              </w:rPr>
              <w:t>Wetoszka</w:t>
            </w:r>
            <w:proofErr w:type="spellEnd"/>
            <w:r>
              <w:rPr>
                <w:sz w:val="22"/>
                <w:szCs w:val="22"/>
              </w:rPr>
              <w:t xml:space="preserve"> D., </w:t>
            </w:r>
            <w:r>
              <w:rPr>
                <w:i/>
                <w:sz w:val="22"/>
                <w:szCs w:val="22"/>
              </w:rPr>
              <w:t xml:space="preserve">Prawo własności intelektualnej, </w:t>
            </w:r>
            <w:r>
              <w:rPr>
                <w:sz w:val="22"/>
                <w:szCs w:val="22"/>
              </w:rPr>
              <w:t>Wy. C.H. Beck, Warszawa 2019.</w:t>
            </w:r>
          </w:p>
          <w:p w:rsidR="00526C21" w:rsidRDefault="00526C21"/>
          <w:p w:rsidR="00526C21" w:rsidRDefault="00476CE6">
            <w:pPr>
              <w:spacing w:after="60"/>
              <w:rPr>
                <w:b/>
                <w:smallCaps/>
                <w:u w:val="single"/>
              </w:rPr>
            </w:pPr>
            <w:r>
              <w:rPr>
                <w:b/>
                <w:smallCaps/>
                <w:u w:val="single"/>
              </w:rPr>
              <w:t>LITERATURA UZUPEŁNIAJĄCA:</w:t>
            </w:r>
          </w:p>
          <w:p w:rsidR="00526C21" w:rsidRDefault="00476C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[1] Szczepanowska-Kozłowska K., </w:t>
            </w:r>
            <w:r>
              <w:rPr>
                <w:i/>
                <w:sz w:val="22"/>
                <w:szCs w:val="22"/>
              </w:rPr>
              <w:t>Własność intelektualna. Wybrane zagadnienia praktyczne</w:t>
            </w:r>
            <w:r>
              <w:rPr>
                <w:sz w:val="22"/>
                <w:szCs w:val="22"/>
              </w:rPr>
              <w:t xml:space="preserve">, Wyd. </w:t>
            </w:r>
            <w:proofErr w:type="spellStart"/>
            <w:r>
              <w:rPr>
                <w:sz w:val="22"/>
                <w:szCs w:val="22"/>
              </w:rPr>
              <w:t>LexisNexis</w:t>
            </w:r>
            <w:proofErr w:type="spellEnd"/>
            <w:r>
              <w:rPr>
                <w:sz w:val="22"/>
                <w:szCs w:val="22"/>
              </w:rPr>
              <w:t xml:space="preserve"> Warszawa 2013</w:t>
            </w:r>
            <w:r>
              <w:rPr>
                <w:color w:val="001133"/>
                <w:sz w:val="22"/>
                <w:szCs w:val="22"/>
              </w:rPr>
              <w:t>.</w:t>
            </w:r>
          </w:p>
          <w:p w:rsidR="00526C21" w:rsidRDefault="00476C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[2] Michniewicz G., </w:t>
            </w:r>
            <w:r>
              <w:rPr>
                <w:i/>
                <w:sz w:val="22"/>
                <w:szCs w:val="22"/>
              </w:rPr>
              <w:t>Ochrona własności intelektualnej</w:t>
            </w:r>
            <w:r>
              <w:rPr>
                <w:sz w:val="22"/>
                <w:szCs w:val="22"/>
              </w:rPr>
              <w:t>, Wyd. C.H. Beck, Warszawa 2019.</w:t>
            </w:r>
          </w:p>
          <w:p w:rsidR="00526C21" w:rsidRDefault="00476C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[3] Nowak-Gruca A., </w:t>
            </w:r>
            <w:r>
              <w:rPr>
                <w:i/>
                <w:sz w:val="22"/>
                <w:szCs w:val="22"/>
              </w:rPr>
              <w:t>Własność intelektualna w przedsiębiorstwie</w:t>
            </w:r>
            <w:r>
              <w:rPr>
                <w:sz w:val="22"/>
                <w:szCs w:val="22"/>
              </w:rPr>
              <w:t>, Wyd. Ośrodek Doradztwa i Doskonalenia Kadr, Warszawa 2018.</w:t>
            </w:r>
          </w:p>
        </w:tc>
      </w:tr>
      <w:tr w:rsidR="00526C2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pPr>
              <w:rPr>
                <w:b/>
              </w:rPr>
            </w:pPr>
            <w:r>
              <w:rPr>
                <w:b/>
              </w:rPr>
              <w:t>OPIEKUN PRZEDMIOTU (IMIĘ, NAZWISKO, ADRES E-MAIL)</w:t>
            </w:r>
          </w:p>
        </w:tc>
      </w:tr>
      <w:tr w:rsidR="00526C21">
        <w:trPr>
          <w:trHeight w:val="6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C21" w:rsidRDefault="00476CE6">
            <w:r>
              <w:t>Aldona Małgorzata Dereń, aldona.deren@pwr.edu.pl</w:t>
            </w:r>
          </w:p>
        </w:tc>
      </w:tr>
    </w:tbl>
    <w:p w:rsidR="00526C21" w:rsidRDefault="00476CE6">
      <w:pPr>
        <w:keepNext/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  <w:r>
        <w:rPr>
          <w:b/>
          <w:color w:val="000000"/>
        </w:rPr>
        <w:t xml:space="preserve"> </w:t>
      </w:r>
    </w:p>
    <w:p w:rsidR="00526C21" w:rsidRDefault="00526C21"/>
    <w:sectPr w:rsidR="00526C21">
      <w:footerReference w:type="default" r:id="rId8"/>
      <w:pgSz w:w="11906" w:h="16838"/>
      <w:pgMar w:top="1418" w:right="1418" w:bottom="1135" w:left="1418" w:header="0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36DF" w:rsidRDefault="00476CE6">
      <w:r>
        <w:separator/>
      </w:r>
    </w:p>
  </w:endnote>
  <w:endnote w:type="continuationSeparator" w:id="0">
    <w:p w:rsidR="004336DF" w:rsidRDefault="00476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">
    <w:panose1 w:val="00000000000000000000"/>
    <w:charset w:val="00"/>
    <w:family w:val="roman"/>
    <w:notTrueType/>
    <w:pitch w:val="default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6C21" w:rsidRDefault="00526C2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36DF" w:rsidRDefault="00476CE6">
      <w:r>
        <w:separator/>
      </w:r>
    </w:p>
  </w:footnote>
  <w:footnote w:type="continuationSeparator" w:id="0">
    <w:p w:rsidR="004336DF" w:rsidRDefault="00476C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F33700"/>
    <w:multiLevelType w:val="multilevel"/>
    <w:tmpl w:val="72DA76C4"/>
    <w:lvl w:ilvl="0">
      <w:start w:val="1"/>
      <w:numFmt w:val="decimal"/>
      <w:pStyle w:val="Nagwek1"/>
      <w:lvlText w:val=""/>
      <w:lvlJc w:val="left"/>
      <w:pPr>
        <w:ind w:left="432" w:hanging="432"/>
      </w:pPr>
    </w:lvl>
    <w:lvl w:ilvl="1">
      <w:start w:val="1"/>
      <w:numFmt w:val="decimal"/>
      <w:pStyle w:val="Nagwek2"/>
      <w:lvlText w:val=""/>
      <w:lvlJc w:val="left"/>
      <w:pPr>
        <w:ind w:left="576" w:hanging="576"/>
      </w:pPr>
    </w:lvl>
    <w:lvl w:ilvl="2">
      <w:start w:val="1"/>
      <w:numFmt w:val="decimal"/>
      <w:pStyle w:val="Nagwek3"/>
      <w:lvlText w:val=""/>
      <w:lvlJc w:val="left"/>
      <w:pPr>
        <w:ind w:left="720" w:hanging="720"/>
      </w:pPr>
    </w:lvl>
    <w:lvl w:ilvl="3">
      <w:start w:val="1"/>
      <w:numFmt w:val="decimal"/>
      <w:pStyle w:val="Nagwek4"/>
      <w:lvlText w:val=""/>
      <w:lvlJc w:val="left"/>
      <w:pPr>
        <w:ind w:left="864" w:hanging="864"/>
      </w:pPr>
    </w:lvl>
    <w:lvl w:ilvl="4">
      <w:start w:val="1"/>
      <w:numFmt w:val="decimal"/>
      <w:pStyle w:val="Nagwek5"/>
      <w:lvlText w:val=""/>
      <w:lvlJc w:val="left"/>
      <w:pPr>
        <w:ind w:left="1008" w:hanging="1008"/>
      </w:pPr>
    </w:lvl>
    <w:lvl w:ilvl="5">
      <w:start w:val="1"/>
      <w:numFmt w:val="decimal"/>
      <w:pStyle w:val="Nagwek6"/>
      <w:lvlText w:val=""/>
      <w:lvlJc w:val="left"/>
      <w:pPr>
        <w:ind w:left="1152" w:hanging="1152"/>
      </w:pPr>
    </w:lvl>
    <w:lvl w:ilvl="6">
      <w:start w:val="1"/>
      <w:numFmt w:val="decimal"/>
      <w:pStyle w:val="Nagwek7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1" w15:restartNumberingAfterBreak="0">
    <w:nsid w:val="573D08F6"/>
    <w:multiLevelType w:val="multilevel"/>
    <w:tmpl w:val="D974DE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6C21"/>
    <w:rsid w:val="003F2744"/>
    <w:rsid w:val="004336DF"/>
    <w:rsid w:val="00476CE6"/>
    <w:rsid w:val="00507BBB"/>
    <w:rsid w:val="00526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66D3C"/>
  <w15:docId w15:val="{E727659E-E419-4713-84D3-460BA499B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omylnaczcionkaakapitu2">
    <w:name w:val="Domyślna czcionka akapitu2"/>
    <w:qFormat/>
  </w:style>
  <w:style w:type="character" w:customStyle="1" w:styleId="WW8Num3z1">
    <w:name w:val="WW8Num3z1"/>
    <w:qFormat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  <w:qFormat/>
  </w:style>
  <w:style w:type="character" w:customStyle="1" w:styleId="czeinternetowe">
    <w:name w:val="Łącze internetowe"/>
    <w:rPr>
      <w:color w:val="0000FF"/>
      <w:u w:val="single"/>
    </w:rPr>
  </w:style>
  <w:style w:type="character" w:styleId="Numerstrony">
    <w:name w:val="page number"/>
    <w:basedOn w:val="Domylnaczcionkaakapitu1"/>
    <w:qFormat/>
  </w:style>
  <w:style w:type="character" w:styleId="UyteHipercze">
    <w:name w:val="FollowedHyperlink"/>
    <w:qFormat/>
    <w:rPr>
      <w:color w:val="800080"/>
      <w:u w:val="single"/>
    </w:rPr>
  </w:style>
  <w:style w:type="character" w:styleId="Odwoaniedokomentarza">
    <w:name w:val="annotation reference"/>
    <w:qFormat/>
    <w:rsid w:val="00182C94"/>
    <w:rPr>
      <w:sz w:val="16"/>
      <w:szCs w:val="16"/>
    </w:rPr>
  </w:style>
  <w:style w:type="character" w:customStyle="1" w:styleId="TekstkomentarzaZnak">
    <w:name w:val="Tekst komentarza Znak"/>
    <w:link w:val="Tekstkomentarza"/>
    <w:qFormat/>
    <w:rsid w:val="00182C94"/>
    <w:rPr>
      <w:lang w:eastAsia="ar-SA"/>
    </w:rPr>
  </w:style>
  <w:style w:type="character" w:customStyle="1" w:styleId="TematkomentarzaZnak">
    <w:name w:val="Temat komentarza Znak"/>
    <w:link w:val="Tematkomentarza"/>
    <w:qFormat/>
    <w:rsid w:val="00182C94"/>
    <w:rPr>
      <w:b/>
      <w:bCs/>
      <w:lang w:eastAsia="ar-SA"/>
    </w:rPr>
  </w:style>
  <w:style w:type="character" w:customStyle="1" w:styleId="TekstdymkaZnak">
    <w:name w:val="Tekst dymka Znak"/>
    <w:link w:val="Tekstdymka"/>
    <w:qFormat/>
    <w:rsid w:val="00182C94"/>
    <w:rPr>
      <w:rFonts w:ascii="Tahoma" w:hAnsi="Tahoma" w:cs="Tahoma"/>
      <w:sz w:val="16"/>
      <w:szCs w:val="16"/>
      <w:lang w:eastAsia="ar-SA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eastAsia="Times New Roman" w:cs="Times New Roman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eastAsia="Times New Roman" w:cs="Times New Roman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eastAsia="Times New Roman" w:cs="Times New Roman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eastAsia="Times New Roman" w:cs="Times New Roman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Znakinumeracji">
    <w:name w:val="Znaki numeracji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Mocnowyrniony">
    <w:name w:val="Mocno wyróżniony"/>
    <w:qFormat/>
    <w:rPr>
      <w:b/>
      <w:bCs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Nagwek20">
    <w:name w:val="Nagłówek2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qFormat/>
    <w:rPr>
      <w:sz w:val="22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qFormat/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paragraph" w:styleId="Tekstkomentarza">
    <w:name w:val="annotation text"/>
    <w:basedOn w:val="Normalny"/>
    <w:link w:val="TekstkomentarzaZnak"/>
    <w:qFormat/>
    <w:rsid w:val="00182C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qFormat/>
    <w:rsid w:val="00182C94"/>
    <w:rPr>
      <w:b/>
      <w:bCs/>
    </w:rPr>
  </w:style>
  <w:style w:type="paragraph" w:styleId="Tekstdymka">
    <w:name w:val="Balloon Text"/>
    <w:basedOn w:val="Normalny"/>
    <w:link w:val="TekstdymkaZnak"/>
    <w:qFormat/>
    <w:rsid w:val="00182C9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C37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b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c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/HPbwFQErnf6UD+Cc5+0pFlx7Q==">AMUW2mUWMkvRu9BhPSXyMkCdu24B0pq2EogB3ExjwV3/Fcr1vRSsuHif0XBxAeeJOq8hW84jOmHoU037QD6o3RDQCp/ST5uiII0yseJ5xWOHpBTmvtI4NvKgtmSMz3+8LPiQmmuNMeSXqonLLN4oYNC8gkdokfp5Ig==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943</Words>
  <Characters>5663</Characters>
  <Application>Microsoft Office Word</Application>
  <DocSecurity>0</DocSecurity>
  <Lines>47</Lines>
  <Paragraphs>13</Paragraphs>
  <ScaleCrop>false</ScaleCrop>
  <Company/>
  <LinksUpToDate>false</LinksUpToDate>
  <CharactersWithSpaces>6593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4</cp:revision>
  <dcterms:created xsi:type="dcterms:W3CDTF">2022-04-28T10:27:00Z</dcterms:created>
  <dcterms:modified xsi:type="dcterms:W3CDTF">2023-03-02T06:59:00Z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GB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